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仿宋" w:eastAsia="方正小标宋简体"/>
          <w:sz w:val="32"/>
          <w:szCs w:val="32"/>
        </w:rPr>
      </w:pPr>
      <w:bookmarkStart w:id="0" w:name="_GoBack"/>
      <w:r>
        <w:rPr>
          <w:rFonts w:hint="eastAsia" w:ascii="方正小标宋简体" w:hAnsi="仿宋" w:eastAsia="方正小标宋简体"/>
          <w:sz w:val="32"/>
          <w:szCs w:val="32"/>
        </w:rPr>
        <w:t>测试项目成绩评定标准</w:t>
      </w:r>
    </w:p>
    <w:bookmarkEnd w:id="0"/>
    <w:p>
      <w:pPr>
        <w:jc w:val="center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 w:cs="宋体"/>
          <w:b/>
          <w:bCs/>
          <w:color w:val="000000"/>
          <w:kern w:val="0"/>
          <w:sz w:val="32"/>
          <w:szCs w:val="32"/>
        </w:rPr>
        <w:t>（一）男子3000m评分标准(分钟)</w:t>
      </w:r>
    </w:p>
    <w:p/>
    <w:tbl>
      <w:tblPr>
        <w:tblStyle w:val="5"/>
        <w:tblpPr w:leftFromText="180" w:rightFromText="180" w:vertAnchor="text" w:horzAnchor="page" w:tblpX="805" w:tblpY="-94"/>
        <w:tblOverlap w:val="never"/>
        <w:tblW w:w="1423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12"/>
        <w:gridCol w:w="1404"/>
        <w:gridCol w:w="1405"/>
        <w:gridCol w:w="1548"/>
        <w:gridCol w:w="1265"/>
        <w:gridCol w:w="2313"/>
        <w:gridCol w:w="1217"/>
        <w:gridCol w:w="23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18-24岁 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25-27岁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28-30岁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31-33岁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34-36岁 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37-39岁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40-42岁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43-45岁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100分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11分55秒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11分20秒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11分55秒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12分30秒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13分15秒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13分50秒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14分25秒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15分00秒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95分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12分05秒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11分30秒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12分05秒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12分40秒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13分35秒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14分10秒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14分45秒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15分20秒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90分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12分15秒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11分40秒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12分15秒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12分50秒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13分55秒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14分30秒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15分05秒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15分40秒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85分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12分35秒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12分00秒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12分35秒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13分10秒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14分15秒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14分50秒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15分25秒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16分00秒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80分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12分55秒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12分20秒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12分55秒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13分30秒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14分35秒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15分10秒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15分45秒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16分20秒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75分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13分15秒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12分40秒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13分15秒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13分50秒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14分55秒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15分30秒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16分05秒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16分40秒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70分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13分35秒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13分00秒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13分35秒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14分10秒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15分15秒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15分50秒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16分25秒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17分00秒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65分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13分55秒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13分20秒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13分55秒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14分30秒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15分35秒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16分10秒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16分45秒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17分20秒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60分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14分15秒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13分40秒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14分15秒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14分50秒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15分55秒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16分30秒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17分05秒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17分40秒</w:t>
            </w:r>
          </w:p>
        </w:tc>
      </w:tr>
    </w:tbl>
    <w:p>
      <w:pPr>
        <w:jc w:val="center"/>
        <w:rPr>
          <w:rFonts w:ascii="楷体" w:hAnsi="楷体" w:eastAsia="楷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bCs/>
          <w:color w:val="000000"/>
          <w:kern w:val="0"/>
          <w:sz w:val="32"/>
          <w:szCs w:val="32"/>
        </w:rPr>
        <w:t>（二）男子屈腿仰卧起坐评分标准(次/3分钟)</w:t>
      </w:r>
    </w:p>
    <w:p>
      <w:pPr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tbl>
      <w:tblPr>
        <w:tblStyle w:val="5"/>
        <w:tblpPr w:leftFromText="180" w:rightFromText="180" w:vertAnchor="text" w:horzAnchor="page" w:tblpXSpec="center" w:tblpY="-94"/>
        <w:tblOverlap w:val="never"/>
        <w:tblW w:w="127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3135"/>
        <w:gridCol w:w="2161"/>
        <w:gridCol w:w="1170"/>
        <w:gridCol w:w="1935"/>
        <w:gridCol w:w="22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18-24岁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25-27岁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28-30岁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31-33岁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34-36岁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100分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95分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90分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85分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80分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75分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70分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65分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60分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</w:tr>
    </w:tbl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jc w:val="center"/>
        <w:rPr>
          <w:rFonts w:ascii="楷体" w:hAnsi="楷体" w:eastAsia="楷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bCs/>
          <w:color w:val="000000"/>
          <w:kern w:val="0"/>
          <w:sz w:val="32"/>
          <w:szCs w:val="32"/>
        </w:rPr>
        <w:t>（三）男子俯卧撑评分标准(次/2分钟)</w:t>
      </w:r>
    </w:p>
    <w:p>
      <w:pPr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tbl>
      <w:tblPr>
        <w:tblStyle w:val="5"/>
        <w:tblpPr w:leftFromText="180" w:rightFromText="180" w:vertAnchor="text" w:horzAnchor="page" w:tblpXSpec="center" w:tblpY="-94"/>
        <w:tblOverlap w:val="never"/>
        <w:tblW w:w="142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2379"/>
        <w:gridCol w:w="2380"/>
        <w:gridCol w:w="2380"/>
        <w:gridCol w:w="2380"/>
        <w:gridCol w:w="2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18-24岁 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25-27岁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28-30岁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31-33岁 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34-36岁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100分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95分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90分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85分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80分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75分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70分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</w:tr>
    </w:tbl>
    <w:p>
      <w:pPr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（四）大货车上坡起步标准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车辆停止后，汽车前保险杠未定于桩杆线上，且前后超出50cm，扣10分；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车辆停止后，起步时间超过30s，扣10分；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行驶中车轮轧道路边缘线，扣10分；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起步时车辆后溜距离大于30cm，扣10分；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车辆停止后，车身距离道路边缘线超过50cm，扣10分；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停车后，未拉紧驻车制动器，扣10分；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车辆停止后，车身距离道路边缘线超出30cm，未超出50cm，扣10分；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起步时车辆后溜距离大于10cm，小于30cm，扣10分；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上坡起步熄火或行进熄火扣20分。</w:t>
      </w:r>
    </w:p>
    <w:p>
      <w:pPr>
        <w:spacing w:line="520" w:lineRule="exact"/>
        <w:jc w:val="center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（五）大货车倒车入库测试标准</w:t>
      </w:r>
    </w:p>
    <w:p>
      <w:pPr>
        <w:spacing w:line="520" w:lineRule="exact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1、不按规定路线顺序行驶，扣10分；</w:t>
      </w:r>
    </w:p>
    <w:p>
      <w:p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2、没有完全倒入车库停车线内，扣10分；</w:t>
      </w:r>
    </w:p>
    <w:p>
      <w:p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3、车身超出停车线，扣10分；</w:t>
      </w:r>
    </w:p>
    <w:p>
      <w:p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4、中途停车，扣10分；</w:t>
      </w:r>
    </w:p>
    <w:p>
      <w:p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5、车辆倒入车库后车身倾斜，扣10分；</w:t>
      </w:r>
    </w:p>
    <w:p>
      <w:p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6、倒车将头伸出车外，扣10分；</w:t>
      </w:r>
    </w:p>
    <w:p>
      <w:p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7、倒车熄火，扣20分；</w:t>
      </w:r>
    </w:p>
    <w:p>
      <w:p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8、不能一次停车入位，扣20分。</w:t>
      </w:r>
    </w:p>
    <w:p>
      <w:pPr>
        <w:spacing w:line="520" w:lineRule="exact"/>
        <w:rPr>
          <w:rFonts w:ascii="仿宋" w:hAnsi="仿宋" w:eastAsia="仿宋"/>
          <w:sz w:val="30"/>
          <w:szCs w:val="30"/>
        </w:rPr>
      </w:pPr>
    </w:p>
    <w:p>
      <w:pPr>
        <w:spacing w:line="520" w:lineRule="exact"/>
        <w:rPr>
          <w:rFonts w:ascii="仿宋" w:hAnsi="仿宋" w:eastAsia="仿宋"/>
          <w:sz w:val="30"/>
          <w:szCs w:val="30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>
      <w:pPr>
        <w:pStyle w:val="4"/>
        <w:spacing w:beforeAutospacing="0" w:afterAutospacing="0"/>
        <w:jc w:val="both"/>
        <w:rPr>
          <w:rFonts w:ascii="宋体" w:hAnsi="宋体" w:cs="宋体"/>
          <w:b/>
          <w:bCs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仓耳爱民小楷 W01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07D45D"/>
    <w:multiLevelType w:val="singleLevel"/>
    <w:tmpl w:val="5507D45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71398"/>
    <w:rsid w:val="0010520F"/>
    <w:rsid w:val="0026174A"/>
    <w:rsid w:val="003A4F73"/>
    <w:rsid w:val="0051144B"/>
    <w:rsid w:val="005D56FF"/>
    <w:rsid w:val="00791A53"/>
    <w:rsid w:val="00C01CBD"/>
    <w:rsid w:val="00E3624E"/>
    <w:rsid w:val="0CBD13FC"/>
    <w:rsid w:val="3DB71398"/>
    <w:rsid w:val="6D8A7502"/>
    <w:rsid w:val="79550C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690ADB-6538-4E83-880A-68C6A6BCDF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576</Words>
  <Characters>3287</Characters>
  <Lines>27</Lines>
  <Paragraphs>7</Paragraphs>
  <TotalTime>1</TotalTime>
  <ScaleCrop>false</ScaleCrop>
  <LinksUpToDate>false</LinksUpToDate>
  <CharactersWithSpaces>3856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2021-11-16T02:29:00Z</dcterms:created>
  <dc:creator>潜山安监</dc:creator>
  <cp:lastModifiedBy>AHo-王宏</cp:lastModifiedBy>
  <cp:lastPrinted>2021-11-17T00:32:00Z</cp:lastPrinted>
  <dcterms:modified xsi:type="dcterms:W3CDTF">2021-11-17T03:48:35Z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561AED9CE8664BE19FCB07F1947E52DC</vt:lpwstr>
  </property>
</Properties>
</file>